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экстремизм — это приверженность к крайним взглядам идействиям, направленным на разжигание ненависти либо вражды по признакам расы, национальности, религиии др.; за подобные деяния предусмотрена уголовная ответственность по ст. 282 УК РФ, а такжеадминистративная — по ст. 20.3.1 КоАП РФ.</w:t>
      </w:r>
    </w:p>
    <w:p w14:paraId="0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</w:rPr>
        <w:t>Помощник прокурора района                                                                А.Г. Бочарова</w:t>
      </w:r>
    </w:p>
    <w:p w14:paraId="0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публичные призывы к осуществлению экстремистскойдеятельности (ст. 280 УК РФ) включают любые обращения в интернете или на массовых мероприятиях с цельюпобудить людей к противоправным действиям; такие действия могут повлечь лишение свободы на срок до 5 лет, апри использовании СМИ или сети «Интернет» — до 7 лет.</w:t>
      </w:r>
    </w:p>
    <w:p w14:paraId="0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</w:rPr>
        <w:t>Помощник прокурора района                                                                А.Г. Бочарова</w:t>
      </w:r>
    </w:p>
    <w:p w14:paraId="0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финансирование экстремистской деятельности(ст. 282.3 УК РФ) — это предоставление или сбор средств для организаций, признанных экстремистскими; дажеперевод небольшой суммы может квалифицироваться как уголовное преступление, наказание — вплоть до 8 летлишения свободы.</w:t>
      </w:r>
    </w:p>
    <w:p w14:paraId="0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</w:rPr>
        <w:t>Помощник прокурора района                                                                А.Г. Бочарова</w:t>
      </w:r>
    </w:p>
    <w:p w14:paraId="0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организация экстремистского сообщества (ст. 282.1 УК РФ) влечётответственность не только за создание такой группы, но и за участие в ней; лица, добровольно прекратившиеучастие и способствовавшие раскрытию преступления, могут быть освобождены от уголовной ответственности.</w:t>
      </w:r>
    </w:p>
    <w:p w14:paraId="0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</w:rPr>
        <w:t>Помощник прокурора района                                                                А.Г. Бочарова</w:t>
      </w:r>
    </w:p>
    <w:p w14:paraId="0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демонстрация нацистской символики или атрибутикиэкстремистских организаций (ст. 20.3 КоАП РФ) запрещена на всей территории РФ; это касается не толькопубличных мероприятий, но и публикаций в соцсетях — за такое правонарушение предусмотрен штраф либоадминистративный арест.</w:t>
      </w:r>
    </w:p>
    <w:p w14:paraId="0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0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терроризм — это идеология насилия и практика устрашениянаселения с целью воздействия на решения органов власти; уголовная ответственность за террористический акт(ст. 205 УК РФ) наступает с 14 лет и предусматривает лишение свободы вплоть до пожизненного заключения.</w:t>
      </w:r>
    </w:p>
    <w:p w14:paraId="0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0D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заведомо ложное сообщение об акте терроризма (ст. 207 УК РФ)также является уголовно наказуемым деянием; такие «шутки» приводят к эвакуации людей, огромным затратамна проверку и могут повлечь штраф до 2 млн рублей либо лишение свободы до 10 лет.</w:t>
      </w:r>
    </w:p>
    <w:p w14:paraId="0E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0F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содействие террористической деятельности (ст. 205.1 УК РФ)включает вербовку, финансирование, обучение террористов либо предоставление им информации;наказание — от 5 до 20 лет лишения свободы, а при отягчающих обстоятельствах — пожизненное заключение.</w:t>
      </w:r>
    </w:p>
    <w:p w14:paraId="10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1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прохождение обучения в целях осуществления террористическойдеятельности (ст. 205.3 УК РФ) карается лишением свободы на срок от 15 до 20 лет; при этом лицо, сообщившееорганам власти о прохождении такого обучения и способствовавшее раскрытию преступления, может бытьосвобождено от уголовной ответственности.</w:t>
      </w:r>
    </w:p>
    <w:p w14:paraId="1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1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участие в террористическом сообществе (ст. 205.4 УК РФ) или вдеятельности террористической организации (ст. 205.5 УК РФ) влечёт суровое наказание — от 10 до 20 летлишения свободы; добровольное прекращение участия и сотрудничество с правоохранительными органами могутстать основанием для освобождения от ответственности.</w:t>
      </w:r>
    </w:p>
    <w:p w14:paraId="1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1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несовершеннолетние также могут нести ответственность заэкстремистские и террористические преступления — по ряду статей (в т. ч. ст. 205, 207, 282 УК РФ) онанаступает с 14 лет; родителям важно разъяснять детям правовые последствия необдуманных поступков ипубликаций в интернете.</w:t>
      </w:r>
    </w:p>
    <w:p w14:paraId="1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Старший помощник прокурора района                                             В.В. Киселев</w:t>
      </w:r>
    </w:p>
    <w:p w14:paraId="1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размещение в соцсетях материалов, содержащих призывы кнасилию или оправдывающих терроризм, может квалифицироваться как публичное оправдание терроризма(ст. 205.2 УК РФ); наказание — штраф до 1 млн рублей или лишение свободы до 7 лет, а при использованииинтернета — до 7 лет лишения свободы.</w:t>
      </w:r>
    </w:p>
    <w:p w14:paraId="1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родители несут ответственность за воспитание детей и должныконтролировать их активность в интернете; если несовершеннолетний размещает экстремистские материалы иливступает в сомнительные сообщества, это может повлечь административную ответственность родителей пост. 5.35 КоАП РФ за ненадлежащее исполнение обязанностей.</w:t>
      </w:r>
    </w:p>
    <w:p w14:paraId="1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вовлечение несовершеннолетних в экстремистскую илитеррористическую деятельность (ст. 150 УК РФ и др.) — особо тяжкое преступление; за склонение ребёнка кучастию в незаконных акциях или пропаганду радикальных идей предусмотрено наказание вплоть до 8 летлишения свободы.</w:t>
      </w:r>
    </w:p>
    <w:p w14:paraId="1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D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образовательные учреждения обязаны проводитьпрофилактические мероприятия по противодействию экстремизму среди учащихся; прокуратура осуществляетнадзор за исполнением этих требований и при выявлении нарушений принимает меры прокурорскогореагирования.</w:t>
      </w:r>
    </w:p>
    <w:p w14:paraId="1E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1F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в школах и колледжах важно формировать у подростковкритическое мышление и умение отличать достоверную информацию от провокационной; беседы с психологамии юристами помогают снизить риски вовлечения молодёжи в деструктивные сообщества.</w:t>
      </w:r>
    </w:p>
    <w:p w14:paraId="20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2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если подросток подвергся вербовке в экстремистскуюорганизацию или получил угрозы в интернете, необходимо незамедлительно обратиться в правоохранительныеорганы; своевременное сообщение помогает предотвратить тяжкие последствия и защитить ребёнка.</w:t>
      </w:r>
    </w:p>
    <w:p w14:paraId="2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2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распространение в молодёжной среде идей «колумбайна» илииных форм насилия в отношении сверстников квалифицируется как пропаганда экстремизма; такие действиямогут повлечь уголовную ответственность, в том числе по ст. 282 УК РФ.</w:t>
      </w:r>
    </w:p>
    <w:p w14:paraId="2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Прокурор района                                                                                    Г.К. Шиналиева</w:t>
      </w:r>
    </w:p>
    <w:p w14:paraId="2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блокировка экстремистских ресурсов в интернете осуществляетсяна основании решений судов и требований прокуратуры; граждане могут сообщать о подобных сайтах вРоскомнадзор или в органы прокуратуры для оперативной проверки.</w:t>
      </w:r>
    </w:p>
    <w:p w14:paraId="2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Федеральный закон № 114</w:t>
      </w:r>
      <w:r>
        <w:rPr>
          <w:rFonts w:ascii="Times New Roman" w:hAnsi="Times New Roman"/>
          <w:color w:val="000000"/>
        </w:rPr>
        <w:t>ФЗ «О противодействииэкстремистской деятельности» определяет правовые основы борьбы с экстремизмом и полномочия госорганов; онтакже предусматривает ликвидацию организаций, признанных экстремистскими, и запрет их символики.</w:t>
      </w:r>
    </w:p>
    <w:p w14:paraId="2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антитеррористическая защищённость объектов (школ, больниц,торговых центров) обеспечивается комплексом мер — от видеонаблюдения до планов эвакуации; прокуратурапроверяет соблюдение этих требований и добивается устранения выявленных нарушений.</w:t>
      </w:r>
    </w:p>
    <w:p w14:paraId="2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при обнаружении подозрительных предметов, похожих навзрывные устройства, категорически запрещено их трогать или перемещать; необходимо немедленно сообщить вполицию по телефону 112 и отойти на безопасное расстояние, предупредив окружающих.</w:t>
      </w:r>
    </w:p>
    <w:p w14:paraId="2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D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поведение в случае угрозы террористического акта требуетчёткого следования инструкциям правоохранительных органов; важно сохранять спокойствие, не распространятьнепроверенную информацию и не создавать панику в соцсетях.</w:t>
      </w:r>
    </w:p>
    <w:p w14:paraId="2E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2F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профилактика экстремизма среди мигрантов включаетразъяснение законодательства РФ и недопустимости пропаганды ненависти; прокуратура взаимодействует сдиаспорами и общественными организациями для предупреждения межнациональных конфликтов.</w:t>
      </w:r>
    </w:p>
    <w:p w14:paraId="30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Заместитель прокурора района                                                           А.Н. Маслов</w:t>
      </w:r>
    </w:p>
    <w:p w14:paraId="31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религиозные объединения, деятельность которых направлена наразжигание вражды или оправдание насилия, могут быть ликвидированы по решению суда; надзор за их работойосуществляет Минюст и прокуратура, которые пресекают попытки вовлечения граждан в экстремистскиетечения.</w:t>
      </w:r>
    </w:p>
    <w:p w14:paraId="32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   А.В. Леонтев</w:t>
      </w:r>
    </w:p>
    <w:p w14:paraId="33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киберэкстремизм — это распространение радикальных идей черезмессенджеры, соцсети и форумы; такие действия фиксируются техническими средствами, а виновныепривлекаются к ответственности по тем же статьям, что и за традиционные формы экстремизма.</w:t>
      </w:r>
    </w:p>
    <w:p w14:paraId="34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   А.В. Леонтев</w:t>
      </w:r>
    </w:p>
    <w:p w14:paraId="35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правовая грамотность родителей — важный элемент защиты детейот радикализации; знание признаков вовлечения подростка в деструктивные группы (смена круга общения,агрессивные высказывания, интерес к оружию) помогает вовремя принять меры.</w:t>
      </w:r>
    </w:p>
    <w:p w14:paraId="36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   А.В. Леонтев</w:t>
      </w:r>
    </w:p>
    <w:p w14:paraId="37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межведомственное взаимодействие (прокуратура, полиция,органы образования, соцзащиты) — ключевой фактор профилактики экстремизма среди несовершеннолетних;совместные рейды и лекции позволяют выявлять риски на ранних этапах.</w:t>
      </w:r>
    </w:p>
    <w:p w14:paraId="38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   А.В. Леонтев</w:t>
      </w:r>
    </w:p>
    <w:p w14:paraId="39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реабилитация лиц, отказавшихся от экстремистской идеологии,включает психологическую помощь и содействие в трудоустройстве; прокуратура контролирует соблюдение ихправ и недопущение дискриминации при возвращении к нормальной жизни.</w:t>
      </w:r>
    </w:p>
    <w:p w14:paraId="3A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   А.В. Леонтев</w:t>
      </w:r>
    </w:p>
    <w:p w14:paraId="3B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Прокуратура Икрянинского района разъясняет: каждый гражданин может внести вклад в противодействиетерроризму, сообщая о подозрительной активности (вербовка, сбор средств, подготовка к акциям); анонимность ибезопасность таких сообщений гарантируются законом, а своевременная информация спасает жизни.</w:t>
      </w:r>
    </w:p>
    <w:p w14:paraId="3C000000">
      <w:pPr>
        <w:spacing w:afterAutospacing="on" w:beforeAutospacing="on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Помощник прокурора района                                                               А.В. Леонтев</w:t>
      </w:r>
    </w:p>
    <w:p w14:paraId="3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Reference"/>
    <w:basedOn w:val="Style_3"/>
    <w:link w:val="Style_8_ch"/>
    <w:rPr>
      <w:b w:val="1"/>
      <w:smallCaps w:val="1"/>
      <w:color w:themeColor="accent1" w:themeShade="BF" w:val="2F5496"/>
      <w:spacing w:val="5"/>
    </w:rPr>
  </w:style>
  <w:style w:styleId="Style_8_ch" w:type="character">
    <w:name w:val="Intense Reference"/>
    <w:basedOn w:val="Style_3_ch"/>
    <w:link w:val="Style_8"/>
    <w:rPr>
      <w:b w:val="1"/>
      <w:smallCaps w:val="1"/>
      <w:color w:themeColor="accent1" w:themeShade="BF" w:val="2F5496"/>
      <w:spacing w:val="5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Intense Quote"/>
    <w:basedOn w:val="Style_1"/>
    <w:next w:val="Style_1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2F5496"/>
    </w:rPr>
  </w:style>
  <w:style w:styleId="Style_12" w:type="paragraph">
    <w:name w:val="List Paragraph"/>
    <w:basedOn w:val="Style_1"/>
    <w:link w:val="Style_12_ch"/>
    <w:pPr>
      <w:ind w:firstLine="0"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14" w:type="paragraph">
    <w:name w:val="Intense Emphasis"/>
    <w:basedOn w:val="Style_3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3_ch"/>
    <w:link w:val="Style_14"/>
    <w:rPr>
      <w:i w:val="1"/>
      <w:color w:themeColor="accent1" w:themeShade="BF" w:val="2F5496"/>
    </w:rPr>
  </w:style>
  <w:style w:styleId="Style_15" w:type="paragraph">
    <w:name w:val="markdown-word"/>
    <w:basedOn w:val="Style_3"/>
    <w:link w:val="Style_15_ch"/>
  </w:style>
  <w:style w:styleId="Style_15_ch" w:type="character">
    <w:name w:val="markdown-word"/>
    <w:basedOn w:val="Style_3_ch"/>
    <w:link w:val="Style_15"/>
  </w:style>
  <w:style w:styleId="Style_16" w:type="paragraph">
    <w:name w:val="msonormal"/>
    <w:basedOn w:val="Style_1"/>
    <w:link w:val="Style_16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16_ch" w:type="character">
    <w:name w:val="msonormal"/>
    <w:basedOn w:val="Style_1_ch"/>
    <w:link w:val="Style_16"/>
    <w:rPr>
      <w:rFonts w:ascii="Times New Roman" w:hAnsi="Times New Roman"/>
    </w:rPr>
  </w:style>
  <w:style w:styleId="Style_17" w:type="paragraph">
    <w:name w:val="toc 3"/>
    <w:next w:val="Style_1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Quote"/>
    <w:basedOn w:val="Style_1"/>
    <w:next w:val="Style_1"/>
    <w:link w:val="Style_18_ch"/>
    <w:pPr>
      <w:spacing w:before="160"/>
      <w:ind/>
      <w:jc w:val="center"/>
    </w:pPr>
    <w:rPr>
      <w:i w:val="1"/>
      <w:color w:themeColor="text1" w:themeTint="BF" w:val="404040"/>
    </w:rPr>
  </w:style>
  <w:style w:styleId="Style_18_ch" w:type="character">
    <w:name w:val="Quote"/>
    <w:basedOn w:val="Style_1_ch"/>
    <w:link w:val="Style_18"/>
    <w:rPr>
      <w:i w:val="1"/>
      <w:color w:themeColor="text1" w:themeTint="BF" w:val="404040"/>
    </w:rPr>
  </w:style>
  <w:style w:styleId="Style_19" w:type="paragraph">
    <w:name w:val="heading 5"/>
    <w:basedOn w:val="Style_1"/>
    <w:next w:val="Style_1"/>
    <w:link w:val="Style_19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9_ch" w:type="character">
    <w:name w:val="heading 5"/>
    <w:basedOn w:val="Style_1_ch"/>
    <w:link w:val="Style_19"/>
    <w:rPr>
      <w:color w:themeColor="accent1" w:themeShade="BF" w:val="2F5496"/>
    </w:rPr>
  </w:style>
  <w:style w:styleId="Style_20" w:type="paragraph">
    <w:name w:val="heading 1"/>
    <w:basedOn w:val="Style_1"/>
    <w:next w:val="Style_1"/>
    <w:link w:val="Style_20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1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heading 8"/>
    <w:basedOn w:val="Style_1"/>
    <w:next w:val="Style_1"/>
    <w:link w:val="Style_23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3_ch" w:type="character">
    <w:name w:val="heading 8"/>
    <w:basedOn w:val="Style_1_ch"/>
    <w:link w:val="Style_23"/>
    <w:rPr>
      <w:i w:val="1"/>
      <w:color w:themeColor="text1" w:themeTint="D8" w:val="272727"/>
    </w:rPr>
  </w:style>
  <w:style w:styleId="Style_24" w:type="paragraph">
    <w:name w:val="toc 1"/>
    <w:next w:val="Style_1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1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apple-converted-space"/>
    <w:basedOn w:val="Style_3"/>
    <w:link w:val="Style_28_ch"/>
  </w:style>
  <w:style w:styleId="Style_28_ch" w:type="character">
    <w:name w:val="apple-converted-space"/>
    <w:basedOn w:val="Style_3_ch"/>
    <w:link w:val="Style_28"/>
  </w:style>
  <w:style w:styleId="Style_29" w:type="paragraph">
    <w:name w:val="toc 5"/>
    <w:next w:val="Style_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basedOn w:val="Style_1"/>
    <w:next w:val="Style_1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1_ch"/>
    <w:link w:val="Style_30"/>
    <w:rPr>
      <w:color w:themeColor="text1" w:themeTint="A6" w:val="595959"/>
      <w:spacing w:val="15"/>
      <w:sz w:val="28"/>
    </w:rPr>
  </w:style>
  <w:style w:styleId="Style_31" w:type="paragraph">
    <w:name w:val="Title"/>
    <w:basedOn w:val="Style_1"/>
    <w:next w:val="Style_1"/>
    <w:link w:val="Style_31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1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1"/>
    <w:next w:val="Style_1"/>
    <w:link w:val="Style_32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2_ch" w:type="character">
    <w:name w:val="heading 4"/>
    <w:basedOn w:val="Style_1_ch"/>
    <w:link w:val="Style_32"/>
    <w:rPr>
      <w:i w:val="1"/>
      <w:color w:themeColor="accent1" w:themeShade="BF" w:val="2F5496"/>
    </w:rPr>
  </w:style>
  <w:style w:styleId="Style_33" w:type="paragraph">
    <w:name w:val="heading 2"/>
    <w:basedOn w:val="Style_1"/>
    <w:next w:val="Style_1"/>
    <w:link w:val="Style_33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3_ch" w:type="character">
    <w:name w:val="heading 2"/>
    <w:basedOn w:val="Style_1_ch"/>
    <w:link w:val="Style_33"/>
    <w:rPr>
      <w:rFonts w:asciiTheme="majorAscii" w:hAnsiTheme="majorHAnsi"/>
      <w:color w:themeColor="accent1" w:themeShade="BF" w:val="2F5496"/>
      <w:sz w:val="32"/>
    </w:rPr>
  </w:style>
  <w:style w:styleId="Style_34" w:type="paragraph">
    <w:name w:val="Normal (Web)"/>
    <w:basedOn w:val="Style_1"/>
    <w:link w:val="Style_34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34_ch" w:type="character">
    <w:name w:val="Normal (Web)"/>
    <w:basedOn w:val="Style_1_ch"/>
    <w:link w:val="Style_34"/>
    <w:rPr>
      <w:rFonts w:ascii="Times New Roman" w:hAnsi="Times New Roman"/>
    </w:rPr>
  </w:style>
  <w:style w:styleId="Style_35" w:type="paragraph">
    <w:name w:val="heading 6"/>
    <w:basedOn w:val="Style_1"/>
    <w:next w:val="Style_1"/>
    <w:link w:val="Style_35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5_ch" w:type="character">
    <w:name w:val="heading 6"/>
    <w:basedOn w:val="Style_1_ch"/>
    <w:link w:val="Style_35"/>
    <w:rPr>
      <w:i w:val="1"/>
      <w:color w:themeColor="text1" w:themeTint="A6" w:val="595959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2026-06-20T14:10:39Z</dcterms:modified>
</cp:coreProperties>
</file>